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27DD4AD8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2F646C">
        <w:rPr>
          <w:b/>
          <w:noProof/>
          <w:sz w:val="24"/>
        </w:rPr>
        <w:t>4</w:t>
      </w:r>
      <w:r w:rsidR="00BF6F39">
        <w:rPr>
          <w:b/>
          <w:noProof/>
          <w:sz w:val="24"/>
        </w:rPr>
        <w:t>Bis</w:t>
      </w:r>
      <w:r w:rsidR="00DC5180" w:rsidRPr="0033027D">
        <w:rPr>
          <w:b/>
          <w:noProof/>
          <w:sz w:val="24"/>
        </w:rPr>
        <w:tab/>
      </w:r>
      <w:r w:rsidR="00926317" w:rsidRPr="00926317">
        <w:rPr>
          <w:rFonts w:cs="Arial"/>
          <w:b/>
          <w:bCs/>
          <w:color w:val="808080"/>
          <w:sz w:val="26"/>
          <w:szCs w:val="26"/>
        </w:rPr>
        <w:t>R4-2503564</w:t>
      </w:r>
    </w:p>
    <w:p w14:paraId="63C63B34" w14:textId="077384E7" w:rsidR="001512D7" w:rsidRPr="002209E4" w:rsidRDefault="00BF6F39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4285B">
        <w:rPr>
          <w:rFonts w:cs="Arial"/>
          <w:sz w:val="24"/>
          <w:szCs w:val="24"/>
        </w:rPr>
        <w:t>Wuhan, Hubei, China, 07</w:t>
      </w:r>
      <w:r w:rsidRPr="00B4285B">
        <w:rPr>
          <w:rFonts w:cs="Arial"/>
          <w:sz w:val="24"/>
          <w:szCs w:val="24"/>
          <w:vertAlign w:val="superscript"/>
        </w:rPr>
        <w:t>th</w:t>
      </w:r>
      <w:r w:rsidRPr="00B4285B">
        <w:rPr>
          <w:rFonts w:cs="Arial"/>
          <w:sz w:val="24"/>
          <w:szCs w:val="24"/>
        </w:rPr>
        <w:t xml:space="preserve"> – 11</w:t>
      </w:r>
      <w:r w:rsidRPr="00B4285B">
        <w:rPr>
          <w:rFonts w:cs="Arial"/>
          <w:sz w:val="24"/>
          <w:szCs w:val="24"/>
          <w:vertAlign w:val="superscript"/>
        </w:rPr>
        <w:t>th</w:t>
      </w:r>
      <w:r w:rsidRPr="00B4285B">
        <w:rPr>
          <w:rFonts w:cs="Arial"/>
          <w:sz w:val="24"/>
          <w:szCs w:val="24"/>
        </w:rPr>
        <w:t xml:space="preserve"> April, 2025</w:t>
      </w:r>
      <w:r w:rsidR="00766B19">
        <w:rPr>
          <w:rFonts w:cs="Arial"/>
          <w:sz w:val="24"/>
        </w:rPr>
        <w:br/>
      </w:r>
    </w:p>
    <w:p w14:paraId="2A75FF71" w14:textId="6CF01B2B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2A58F0">
        <w:rPr>
          <w:rFonts w:ascii="Arial" w:hAnsi="Arial" w:cs="Arial"/>
          <w:b/>
        </w:rPr>
        <w:t xml:space="preserve">Frequency error and </w:t>
      </w:r>
      <w:r w:rsidR="00943AA6">
        <w:rPr>
          <w:rFonts w:ascii="Arial" w:hAnsi="Arial" w:cs="Arial"/>
          <w:b/>
        </w:rPr>
        <w:t xml:space="preserve">UE </w:t>
      </w:r>
      <w:r w:rsidR="000A3D49">
        <w:rPr>
          <w:rFonts w:ascii="Arial" w:hAnsi="Arial" w:cs="Arial"/>
          <w:b/>
        </w:rPr>
        <w:t xml:space="preserve">regulatory </w:t>
      </w:r>
      <w:r w:rsidR="00943AA6">
        <w:rPr>
          <w:rFonts w:ascii="Arial" w:hAnsi="Arial" w:cs="Arial"/>
          <w:b/>
        </w:rPr>
        <w:t xml:space="preserve">requirements 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0A7786D8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16E81">
        <w:rPr>
          <w:rFonts w:ascii="Arial" w:hAnsi="Arial" w:cs="Arial"/>
          <w:b/>
        </w:rPr>
        <w:t>7</w:t>
      </w:r>
      <w:r w:rsidR="00623E79">
        <w:rPr>
          <w:rFonts w:ascii="Arial" w:hAnsi="Arial" w:cs="Arial"/>
          <w:b/>
        </w:rPr>
        <w:t>.31.</w:t>
      </w:r>
      <w:r w:rsidR="00C4279A">
        <w:rPr>
          <w:rFonts w:ascii="Arial" w:hAnsi="Arial" w:cs="Arial"/>
          <w:b/>
        </w:rPr>
        <w:t>4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781A1615" w:rsidR="00BD0ED2" w:rsidRDefault="002C0F6D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="00A22826" w:rsidRPr="00A22826">
        <w:rPr>
          <w:rFonts w:ascii="Arial" w:hAnsi="Arial" w:cs="Arial"/>
          <w:b/>
        </w:rPr>
        <w:t>IoT_NTN_TDD-Core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171D0C4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EB2A76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D60C49" w14:textId="6A09013F" w:rsidR="001048D2" w:rsidRDefault="009A37DD" w:rsidP="003234CA">
      <w:r>
        <w:t>W</w:t>
      </w:r>
      <w:r w:rsidR="009E0661">
        <w:t>F</w:t>
      </w:r>
      <w:r>
        <w:t xml:space="preserve"> </w:t>
      </w:r>
      <w:r w:rsidR="00953B9C">
        <w:t>[</w:t>
      </w:r>
      <w:r w:rsidR="009E0661">
        <w:t>5</w:t>
      </w:r>
      <w:r w:rsidR="00953B9C">
        <w:t xml:space="preserve">] </w:t>
      </w:r>
      <w:r>
        <w:t>was approved</w:t>
      </w:r>
      <w:r w:rsidR="009E0661">
        <w:t xml:space="preserve"> for TDD NTN in RAN4#114</w:t>
      </w:r>
      <w:r w:rsidR="00876620">
        <w:t>. In the WF there was a</w:t>
      </w:r>
      <w:r w:rsidR="00225293">
        <w:t>n agreement</w:t>
      </w:r>
      <w:r w:rsidR="001048D2">
        <w:t xml:space="preserve">: </w:t>
      </w:r>
      <w:r w:rsidR="007762DC">
        <w:t>“</w:t>
      </w:r>
      <w:r w:rsidR="001048D2">
        <w:t>Further discuss the potential u</w:t>
      </w:r>
      <w:r w:rsidR="001048D2" w:rsidRPr="00B85EE8">
        <w:t xml:space="preserve">pdate </w:t>
      </w:r>
      <w:r w:rsidR="001048D2">
        <w:t xml:space="preserve">of </w:t>
      </w:r>
      <w:r w:rsidR="001048D2" w:rsidRPr="00B85EE8">
        <w:t>frequency error requirement for TDD to allow UE to update pre-compensation between every UL slot</w:t>
      </w:r>
      <w:r w:rsidR="001048D2">
        <w:t>/segment</w:t>
      </w:r>
      <w:r w:rsidR="00814263">
        <w:t>.</w:t>
      </w:r>
      <w:r w:rsidR="007762DC">
        <w:t>”</w:t>
      </w:r>
    </w:p>
    <w:p w14:paraId="6B95A7FE" w14:textId="77777777" w:rsidR="007762DC" w:rsidRDefault="001048D2" w:rsidP="003234CA">
      <w:r>
        <w:t xml:space="preserve">WF also </w:t>
      </w:r>
      <w:r w:rsidR="007762DC">
        <w:t>indicated about AMPR that: “</w:t>
      </w:r>
      <w:r w:rsidR="007762DC" w:rsidRPr="007762DC">
        <w:rPr>
          <w:color w:val="000000"/>
          <w:szCs w:val="24"/>
          <w:lang w:eastAsia="zh-CN"/>
        </w:rPr>
        <w:t>Further discuss AMPR for 249. Proponent to clarify at next meeting which band has to be protected through this AMPR mechanism.</w:t>
      </w:r>
      <w:r w:rsidR="007762DC">
        <w:t>”</w:t>
      </w:r>
    </w:p>
    <w:p w14:paraId="362E70DC" w14:textId="745E69D7" w:rsidR="00777E6E" w:rsidRDefault="007762DC" w:rsidP="003234CA">
      <w:r>
        <w:t>In this paper we discuss both matters</w:t>
      </w:r>
      <w:r w:rsidR="001C467D">
        <w:t xml:space="preserve">. </w:t>
      </w:r>
      <w:r w:rsidR="00814263">
        <w:t xml:space="preserve"> </w:t>
      </w:r>
      <w:r w:rsidR="00490373">
        <w:t xml:space="preserve"> </w:t>
      </w:r>
    </w:p>
    <w:p w14:paraId="3E061D03" w14:textId="5BB9E935" w:rsidR="00FE3995" w:rsidRDefault="000A567D" w:rsidP="006F46E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AD4F771" w14:textId="4CFC5046" w:rsidR="008B45E3" w:rsidRDefault="00FE3995" w:rsidP="004266FD">
      <w:pPr>
        <w:pStyle w:val="Heading2"/>
      </w:pPr>
      <w:r>
        <w:t>2.</w:t>
      </w:r>
      <w:r w:rsidR="00782F6D">
        <w:t>1</w:t>
      </w:r>
      <w:r>
        <w:t xml:space="preserve"> </w:t>
      </w:r>
      <w:r>
        <w:tab/>
        <w:t>Freq error</w:t>
      </w:r>
    </w:p>
    <w:p w14:paraId="3DB4961E" w14:textId="6527AB47" w:rsidR="001C467D" w:rsidRDefault="001C467D" w:rsidP="004266FD">
      <w:r>
        <w:t>RAN1 is discussing how to handle segmentations</w:t>
      </w:r>
      <w:r w:rsidR="00D37D93">
        <w:t xml:space="preserve">, the RAN1 agreement is in Annex of this paper. </w:t>
      </w:r>
      <w:r w:rsidR="00555BA6">
        <w:t xml:space="preserve">Segmentation was originally created to allow gaps </w:t>
      </w:r>
      <w:r w:rsidR="00321463">
        <w:t>for</w:t>
      </w:r>
      <w:r w:rsidR="00555BA6">
        <w:t xml:space="preserve"> UE to update timing and frequency. Since this is TDD system, </w:t>
      </w:r>
      <w:r w:rsidR="00F74BD2">
        <w:t xml:space="preserve">this may not be needed at all. </w:t>
      </w:r>
      <w:r w:rsidR="006950B3">
        <w:t>The option 2 in seems most straight forward solution so that UE can pre-compensate every start of the UL burst</w:t>
      </w:r>
      <w:r w:rsidR="00321463">
        <w:t>, meaning</w:t>
      </w:r>
      <w:r w:rsidR="000E3A34">
        <w:t xml:space="preserve"> the consecutive 8 UL </w:t>
      </w:r>
      <w:r w:rsidR="003472C3">
        <w:t>slots, as described in [6].</w:t>
      </w:r>
      <w:r w:rsidR="00321463">
        <w:t xml:space="preserve"> </w:t>
      </w:r>
    </w:p>
    <w:p w14:paraId="11B23684" w14:textId="1BFC6B7F" w:rsidR="004818C7" w:rsidRDefault="00FA1FE6" w:rsidP="004266FD">
      <w:r>
        <w:t xml:space="preserve">Clause </w:t>
      </w:r>
      <w:r w:rsidR="004818C7">
        <w:t>6.4B.1</w:t>
      </w:r>
      <w:r w:rsidR="001605A5">
        <w:t>of TS36.102</w:t>
      </w:r>
      <w:r w:rsidR="004818C7">
        <w:t>:</w:t>
      </w:r>
    </w:p>
    <w:p w14:paraId="125CE3D0" w14:textId="77777777" w:rsidR="004818C7" w:rsidRDefault="004818C7" w:rsidP="004266FD">
      <w:r>
        <w:t>…</w:t>
      </w:r>
    </w:p>
    <w:p w14:paraId="459A5666" w14:textId="1D063646" w:rsidR="004818C7" w:rsidRPr="004818C7" w:rsidRDefault="00FA1FE6" w:rsidP="004266FD">
      <w:pPr>
        <w:rPr>
          <w:i/>
          <w:iCs/>
        </w:rPr>
      </w:pPr>
      <w:r w:rsidRPr="004818C7">
        <w:rPr>
          <w:i/>
          <w:iCs/>
        </w:rPr>
        <w:t xml:space="preserve">When a repetition period is configured on the uplink for which repetition period (R ) &gt;1, the </w:t>
      </w:r>
      <w:r w:rsidRPr="00F6288E">
        <w:rPr>
          <w:i/>
          <w:iCs/>
          <w:highlight w:val="yellow"/>
        </w:rPr>
        <w:t>UE shall not change Doppler pre-compensation during an ongoing repetition period</w:t>
      </w:r>
      <w:r w:rsidRPr="004818C7">
        <w:rPr>
          <w:i/>
          <w:iCs/>
        </w:rPr>
        <w:t>, except in the transmission gaps as defined in clause 10.1.3.6 of TS 36.211[3]. When segmentation is applied, then the UE shall update pre-compensation at the beginning of each segment prior to segment transmission</w:t>
      </w:r>
      <w:r w:rsidR="004818C7" w:rsidRPr="004818C7">
        <w:rPr>
          <w:i/>
          <w:iCs/>
        </w:rPr>
        <w:t>.</w:t>
      </w:r>
    </w:p>
    <w:p w14:paraId="7C219D42" w14:textId="2E7CA3F0" w:rsidR="004818C7" w:rsidRDefault="004818C7" w:rsidP="004266FD">
      <w:r>
        <w:t>…</w:t>
      </w:r>
    </w:p>
    <w:p w14:paraId="148EB8AD" w14:textId="625751BE" w:rsidR="005754BD" w:rsidRDefault="00D27470" w:rsidP="005754BD">
      <w:r>
        <w:t xml:space="preserve">Depending on which option RAN1 will choose, the Ran4 requirement may or may not be </w:t>
      </w:r>
      <w:r w:rsidR="00782F6D">
        <w:t xml:space="preserve">needing </w:t>
      </w:r>
      <w:r w:rsidR="004F57B9">
        <w:t>changes,</w:t>
      </w:r>
      <w:r w:rsidR="00AD42F8">
        <w:t xml:space="preserve"> but it seems that at least UE should be allowed to updated the pre-compensation in between UL bursts. </w:t>
      </w:r>
    </w:p>
    <w:p w14:paraId="701B8CC0" w14:textId="5DAAAED3" w:rsidR="00A8005A" w:rsidRDefault="00A8005A" w:rsidP="005754BD">
      <w:pPr>
        <w:rPr>
          <w:b/>
          <w:bCs/>
        </w:rPr>
      </w:pPr>
      <w:r w:rsidRPr="00A8005A">
        <w:rPr>
          <w:b/>
          <w:bCs/>
        </w:rPr>
        <w:t>Prop</w:t>
      </w:r>
      <w:r>
        <w:rPr>
          <w:b/>
          <w:bCs/>
        </w:rPr>
        <w:t>o</w:t>
      </w:r>
      <w:r w:rsidRPr="00A8005A">
        <w:rPr>
          <w:b/>
          <w:bCs/>
        </w:rPr>
        <w:t>sal</w:t>
      </w:r>
      <w:r w:rsidR="007D4769">
        <w:rPr>
          <w:b/>
          <w:bCs/>
        </w:rPr>
        <w:t xml:space="preserve"> 1</w:t>
      </w:r>
      <w:r w:rsidRPr="00A8005A">
        <w:rPr>
          <w:b/>
          <w:bCs/>
        </w:rPr>
        <w:t xml:space="preserve">: UE is allowed to perform pre-compensation between two UL bursts. </w:t>
      </w:r>
    </w:p>
    <w:p w14:paraId="12D06D3B" w14:textId="0BD94A33" w:rsidR="00882C1D" w:rsidRDefault="00882C1D" w:rsidP="005754BD">
      <w:r>
        <w:t>Corresponding specification change could be to add sentence</w:t>
      </w:r>
      <w:r w:rsidR="00773E50">
        <w:t>:</w:t>
      </w:r>
      <w:r>
        <w:t xml:space="preserve"> “</w:t>
      </w:r>
      <w:r w:rsidR="000C2BCE">
        <w:t>For NTN TDD system, UE shall pre-compensate in the</w:t>
      </w:r>
      <w:r w:rsidR="00773E50">
        <w:t xml:space="preserve"> beginning of the UL burst.”</w:t>
      </w:r>
      <w:r w:rsidR="000C2BCE">
        <w:t xml:space="preserve"> </w:t>
      </w:r>
    </w:p>
    <w:p w14:paraId="44AE5B8D" w14:textId="37B0C05C" w:rsidR="00A8005A" w:rsidRPr="00FD21A7" w:rsidRDefault="00FD21A7" w:rsidP="005754BD">
      <w:r w:rsidRPr="00FD21A7">
        <w:t>UE behaviour during the burst is better left to RAN1 discussion</w:t>
      </w:r>
      <w:r w:rsidR="00882C1D">
        <w:t>s.</w:t>
      </w:r>
    </w:p>
    <w:p w14:paraId="12018F86" w14:textId="70686CAC" w:rsidR="00782F6D" w:rsidRDefault="00782F6D" w:rsidP="00FC5378">
      <w:pPr>
        <w:pStyle w:val="Heading2"/>
      </w:pPr>
      <w:r>
        <w:lastRenderedPageBreak/>
        <w:t>2.2</w:t>
      </w:r>
      <w:r>
        <w:tab/>
      </w:r>
      <w:r w:rsidR="004E5035">
        <w:t>Regulatory requirements</w:t>
      </w:r>
    </w:p>
    <w:p w14:paraId="24492F11" w14:textId="0C54D0CE" w:rsidR="004E5035" w:rsidRDefault="004E5035" w:rsidP="005754BD">
      <w:r>
        <w:t xml:space="preserve">As discussed in [6], some AMPR may need to be </w:t>
      </w:r>
      <w:r w:rsidR="005E2DD6">
        <w:t xml:space="preserve">re-used from b254 work, where there is </w:t>
      </w:r>
      <w:r w:rsidR="00C158C1">
        <w:t xml:space="preserve">discussion ongoing regarding the TBD AMPR for the in-band emissions mask. It also should be noted that the </w:t>
      </w:r>
      <w:r w:rsidR="00A4228B">
        <w:t xml:space="preserve">Table 6.2B.3-1 is missing reference to the requirements in </w:t>
      </w:r>
      <w:r w:rsidR="00487351">
        <w:t>clause 6.5A.3.3.2-1.</w:t>
      </w:r>
    </w:p>
    <w:p w14:paraId="3E679764" w14:textId="0F4E6A1D" w:rsidR="00A4228B" w:rsidRDefault="00E1596A" w:rsidP="005754BD">
      <w:r>
        <w:rPr>
          <w:noProof/>
        </w:rPr>
        <w:drawing>
          <wp:inline distT="0" distB="0" distL="0" distR="0" wp14:anchorId="090BD4E4" wp14:editId="47CF2D9A">
            <wp:extent cx="6114415" cy="1783715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8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D4435" w14:textId="77777777" w:rsidR="009A37C5" w:rsidRDefault="009A37C5" w:rsidP="005754BD"/>
    <w:p w14:paraId="1431CEB0" w14:textId="79CEB948" w:rsidR="009A37C5" w:rsidRDefault="00E1596A" w:rsidP="005754BD">
      <w:r>
        <w:rPr>
          <w:noProof/>
        </w:rPr>
        <w:drawing>
          <wp:inline distT="0" distB="0" distL="0" distR="0" wp14:anchorId="616CDCB8" wp14:editId="6C98D229">
            <wp:extent cx="6114415" cy="1397000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0BA5F" w14:textId="09C0CCC1" w:rsidR="0045475B" w:rsidRDefault="00624DCC" w:rsidP="005754BD">
      <w:r>
        <w:t xml:space="preserve">Is some discussions applicable emission limits are said to be derived from ITU </w:t>
      </w:r>
      <w:r w:rsidR="00B822F0" w:rsidRPr="00B822F0">
        <w:t>Rec. ITU-R M.1480</w:t>
      </w:r>
      <w:r w:rsidR="00B822F0">
        <w:t xml:space="preserve"> but that document only defines limits for </w:t>
      </w:r>
      <w:r w:rsidR="00886C03" w:rsidRPr="00886C03">
        <w:t>within the 1 626.5-1 662.5 MHz</w:t>
      </w:r>
      <w:r w:rsidR="00886C03">
        <w:t xml:space="preserve"> band which is not </w:t>
      </w:r>
      <w:r w:rsidR="00BF75E3">
        <w:t xml:space="preserve">b249. </w:t>
      </w:r>
    </w:p>
    <w:p w14:paraId="49E38A16" w14:textId="77777777" w:rsidR="00BE6703" w:rsidRDefault="00BE6703" w:rsidP="00BE6703">
      <w:r>
        <w:t>The current requirements in 36.102 do not contain the ITU 1480 inband emissions. These seem to be different values and offsets.</w:t>
      </w:r>
    </w:p>
    <w:p w14:paraId="39355A44" w14:textId="53025629" w:rsidR="00BE6703" w:rsidRDefault="00E1596A" w:rsidP="00BE6703">
      <w:pPr>
        <w:jc w:val="center"/>
      </w:pPr>
      <w:r>
        <w:rPr>
          <w:noProof/>
        </w:rPr>
        <w:drawing>
          <wp:inline distT="0" distB="0" distL="0" distR="0" wp14:anchorId="41252AB0" wp14:editId="62E7D919">
            <wp:extent cx="3250565" cy="170815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00CBB" w14:textId="77777777" w:rsidR="00BE6703" w:rsidRDefault="00BE6703" w:rsidP="005754BD"/>
    <w:p w14:paraId="7DCA0D94" w14:textId="4B4A980D" w:rsidR="00BE6703" w:rsidRDefault="00BF75E3" w:rsidP="00BE6703">
      <w:r>
        <w:t xml:space="preserve">In some discussions, emission limits </w:t>
      </w:r>
      <w:r w:rsidR="003C4915">
        <w:t xml:space="preserve">from </w:t>
      </w:r>
      <w:r w:rsidR="003C4915" w:rsidRPr="003C4915">
        <w:t>ETSI EN 301 441</w:t>
      </w:r>
      <w:r w:rsidR="003C4915">
        <w:t xml:space="preserve"> </w:t>
      </w:r>
      <w:r>
        <w:t xml:space="preserve">are </w:t>
      </w:r>
      <w:r w:rsidR="003C4915">
        <w:t xml:space="preserve">referred and there applicable band </w:t>
      </w:r>
      <w:r w:rsidR="00086D59" w:rsidRPr="00086D59">
        <w:t>1 610,0 MHz to 1 626,5 MHz</w:t>
      </w:r>
      <w:r w:rsidR="00086D59">
        <w:t xml:space="preserve"> fits the b249 spectrum but </w:t>
      </w:r>
      <w:r w:rsidR="005A3976">
        <w:t xml:space="preserve">it is not clear if this </w:t>
      </w:r>
      <w:r w:rsidR="00086D59">
        <w:t xml:space="preserve">ETSI </w:t>
      </w:r>
      <w:r w:rsidR="005A3976">
        <w:t xml:space="preserve">harmonized standard is applicable for 3GPP NTN system. </w:t>
      </w:r>
    </w:p>
    <w:p w14:paraId="68322966" w14:textId="178D4E30" w:rsidR="00C32111" w:rsidRDefault="004D7D9D" w:rsidP="00BE6703">
      <w:r>
        <w:t xml:space="preserve">Maybe better source is </w:t>
      </w:r>
      <w:r w:rsidRPr="004D7D9D">
        <w:t>ITU-R M.1343-1</w:t>
      </w:r>
      <w:r w:rsidR="00A5030B">
        <w:t xml:space="preserve"> where the scope is aligned with the </w:t>
      </w:r>
      <w:r w:rsidR="00F60098">
        <w:t>b249. In there, there are e.g. inband emissions mask</w:t>
      </w:r>
      <w:r w:rsidR="003364EF">
        <w:t>:</w:t>
      </w:r>
    </w:p>
    <w:p w14:paraId="6B1CCE66" w14:textId="07D53D9D" w:rsidR="003364EF" w:rsidRDefault="00E1596A" w:rsidP="003364EF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2DD8D107" wp14:editId="32DF5A7F">
            <wp:extent cx="4320540" cy="16129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CBF9C" w14:textId="31FD5E04" w:rsidR="003364EF" w:rsidRDefault="003364EF" w:rsidP="00CC0EBF">
      <w:r>
        <w:rPr>
          <w:noProof/>
        </w:rPr>
        <w:t xml:space="preserve">Which alignes with the </w:t>
      </w:r>
      <w:r w:rsidR="00CC0EBF">
        <w:rPr>
          <w:noProof/>
        </w:rPr>
        <w:t>NS_04N</w:t>
      </w:r>
      <w:r w:rsidR="00B54E77">
        <w:rPr>
          <w:noProof/>
        </w:rPr>
        <w:t xml:space="preserve"> ant the table </w:t>
      </w:r>
      <w:r w:rsidR="000D6A09">
        <w:rPr>
          <w:noProof/>
        </w:rPr>
        <w:t xml:space="preserve">8 </w:t>
      </w:r>
      <w:r w:rsidR="000C4B7B">
        <w:rPr>
          <w:noProof/>
        </w:rPr>
        <w:t xml:space="preserve">of </w:t>
      </w:r>
      <w:r w:rsidR="000C4B7B" w:rsidRPr="004D7D9D">
        <w:t>ITU-R M.1343-1</w:t>
      </w:r>
      <w:r w:rsidR="000C4B7B">
        <w:t xml:space="preserve"> aligns with the </w:t>
      </w:r>
      <w:r w:rsidR="00B41008">
        <w:t xml:space="preserve">NS_05N requirement in clause </w:t>
      </w:r>
      <w:r w:rsidR="00B41008" w:rsidRPr="00B41008">
        <w:t>6.5A.3.3.3</w:t>
      </w:r>
      <w:r w:rsidR="00B41008">
        <w:t>. However, this is a recommendation so what 3GPP should adopt, needs to be clarified.</w:t>
      </w:r>
    </w:p>
    <w:p w14:paraId="3BE670E2" w14:textId="77777777" w:rsidR="008F4BDA" w:rsidRDefault="008F4BDA" w:rsidP="008F4BDA">
      <w:pPr>
        <w:rPr>
          <w:b/>
          <w:bCs/>
        </w:rPr>
      </w:pPr>
      <w:r w:rsidRPr="0010055D">
        <w:rPr>
          <w:b/>
          <w:bCs/>
        </w:rPr>
        <w:t xml:space="preserve">Observation: Clarity on which regulative document applies for this frequency band is needed from </w:t>
      </w:r>
      <w:r>
        <w:rPr>
          <w:b/>
          <w:bCs/>
        </w:rPr>
        <w:t>the spectrum owner</w:t>
      </w:r>
    </w:p>
    <w:p w14:paraId="0DB9799D" w14:textId="589324CE" w:rsidR="00BF6F39" w:rsidRDefault="00BF6F39" w:rsidP="005754BD">
      <w:r w:rsidRPr="00BF6F39">
        <w:t>In the absence of any guidance from the license holder</w:t>
      </w:r>
      <w:r>
        <w:t xml:space="preserve"> or </w:t>
      </w:r>
      <w:r w:rsidR="00946C5F">
        <w:t>other sources, 3GPP should not define any additional requirements for the b249.</w:t>
      </w:r>
    </w:p>
    <w:p w14:paraId="000F3F0D" w14:textId="4A540286" w:rsidR="00946C5F" w:rsidRPr="006840E9" w:rsidRDefault="00946C5F" w:rsidP="005754BD">
      <w:pPr>
        <w:rPr>
          <w:b/>
          <w:bCs/>
        </w:rPr>
      </w:pPr>
      <w:r w:rsidRPr="006840E9">
        <w:rPr>
          <w:b/>
          <w:bCs/>
        </w:rPr>
        <w:t xml:space="preserve">Proposal 2: </w:t>
      </w:r>
      <w:r w:rsidR="006840E9" w:rsidRPr="006840E9">
        <w:rPr>
          <w:b/>
          <w:bCs/>
        </w:rPr>
        <w:t xml:space="preserve">In the absence of clear regulatory rules that may not be covered under general emission requirements, 3GPP should not define any additional requirements. </w:t>
      </w:r>
    </w:p>
    <w:p w14:paraId="039EEEDB" w14:textId="4F034D64" w:rsidR="0045475B" w:rsidRDefault="0010055D" w:rsidP="00950A78">
      <w:pPr>
        <w:pStyle w:val="Heading2"/>
      </w:pPr>
      <w:r>
        <w:t>2.3</w:t>
      </w:r>
      <w:r>
        <w:tab/>
      </w:r>
      <w:r w:rsidR="00950A78">
        <w:t xml:space="preserve">Power class </w:t>
      </w:r>
    </w:p>
    <w:p w14:paraId="3443BF61" w14:textId="4DE612CF" w:rsidR="004F63E2" w:rsidRDefault="00950A78" w:rsidP="005754BD">
      <w:r>
        <w:t>The WID or any document anywhere does not mention the power class for this band</w:t>
      </w:r>
      <w:r w:rsidR="007873BF">
        <w:t xml:space="preserve">. Since the UL </w:t>
      </w:r>
      <w:r w:rsidR="007D4769">
        <w:t>duty cycle</w:t>
      </w:r>
      <w:r w:rsidR="007873BF">
        <w:t xml:space="preserve"> </w:t>
      </w:r>
      <w:r w:rsidR="009E1272">
        <w:t>is much lower than FDD system, about 1/8</w:t>
      </w:r>
      <w:r w:rsidR="009E1272" w:rsidRPr="009E1272">
        <w:rPr>
          <w:vertAlign w:val="superscript"/>
        </w:rPr>
        <w:t>th</w:t>
      </w:r>
      <w:r w:rsidR="009E1272">
        <w:t xml:space="preserve"> </w:t>
      </w:r>
      <w:r w:rsidR="007F0B32">
        <w:t xml:space="preserve">, we could say it will need </w:t>
      </w:r>
      <w:r w:rsidR="005C0031">
        <w:t xml:space="preserve">8 time more power to reach the same UL </w:t>
      </w:r>
      <w:r w:rsidR="007D4769">
        <w:t>throughput</w:t>
      </w:r>
      <w:r w:rsidR="005C0031">
        <w:t xml:space="preserve">. 8 x 23 dBm is </w:t>
      </w:r>
      <w:r w:rsidR="004F63E2">
        <w:t xml:space="preserve">32 dBm. </w:t>
      </w:r>
    </w:p>
    <w:p w14:paraId="00E9075E" w14:textId="375F7010" w:rsidR="00950A78" w:rsidRPr="00CD423E" w:rsidRDefault="004F63E2" w:rsidP="005754BD">
      <w:pPr>
        <w:rPr>
          <w:b/>
          <w:bCs/>
        </w:rPr>
      </w:pPr>
      <w:r w:rsidRPr="007D4769">
        <w:rPr>
          <w:b/>
          <w:bCs/>
        </w:rPr>
        <w:t>Proposal</w:t>
      </w:r>
      <w:r w:rsidR="007D4769">
        <w:rPr>
          <w:b/>
          <w:bCs/>
        </w:rPr>
        <w:t xml:space="preserve"> </w:t>
      </w:r>
      <w:r w:rsidR="006840E9">
        <w:rPr>
          <w:b/>
          <w:bCs/>
        </w:rPr>
        <w:t>3</w:t>
      </w:r>
      <w:r w:rsidRPr="007D4769">
        <w:rPr>
          <w:b/>
          <w:bCs/>
        </w:rPr>
        <w:t xml:space="preserve">: Power class for the NTN IoT TDD system is defined as 32 dBm. </w:t>
      </w:r>
    </w:p>
    <w:p w14:paraId="068A8046" w14:textId="0A250700" w:rsidR="0036403F" w:rsidRDefault="00814263" w:rsidP="0036403F">
      <w:pPr>
        <w:pStyle w:val="Heading1"/>
      </w:pPr>
      <w:r>
        <w:t xml:space="preserve"> </w:t>
      </w:r>
      <w:r w:rsidR="0036403F">
        <w:t>Conclusion</w:t>
      </w:r>
    </w:p>
    <w:p w14:paraId="0B536674" w14:textId="22980864" w:rsidR="00C24994" w:rsidRDefault="00C24994" w:rsidP="005D33A7">
      <w:pPr>
        <w:rPr>
          <w:bCs/>
        </w:rPr>
      </w:pPr>
      <w:r w:rsidRPr="002562A8">
        <w:rPr>
          <w:bCs/>
        </w:rPr>
        <w:t xml:space="preserve">We </w:t>
      </w:r>
      <w:r w:rsidR="00DB2468">
        <w:rPr>
          <w:bCs/>
        </w:rPr>
        <w:t>observed and proposed.</w:t>
      </w:r>
    </w:p>
    <w:p w14:paraId="051EBA39" w14:textId="06DADF79" w:rsidR="00D156B8" w:rsidRDefault="00D156B8" w:rsidP="00D156B8">
      <w:pPr>
        <w:rPr>
          <w:b/>
          <w:bCs/>
        </w:rPr>
      </w:pPr>
      <w:r w:rsidRPr="00A8005A">
        <w:rPr>
          <w:b/>
          <w:bCs/>
        </w:rPr>
        <w:t>Prop</w:t>
      </w:r>
      <w:r>
        <w:rPr>
          <w:b/>
          <w:bCs/>
        </w:rPr>
        <w:t>o</w:t>
      </w:r>
      <w:r w:rsidRPr="00A8005A">
        <w:rPr>
          <w:b/>
          <w:bCs/>
        </w:rPr>
        <w:t>sal</w:t>
      </w:r>
      <w:r>
        <w:rPr>
          <w:b/>
          <w:bCs/>
        </w:rPr>
        <w:t xml:space="preserve"> 1</w:t>
      </w:r>
      <w:r w:rsidRPr="00A8005A">
        <w:rPr>
          <w:b/>
          <w:bCs/>
        </w:rPr>
        <w:t>: UE is allowed to perform pre-compensation between two UL bursts</w:t>
      </w:r>
    </w:p>
    <w:p w14:paraId="20F569C8" w14:textId="1004759A" w:rsidR="006840E9" w:rsidRDefault="006840E9" w:rsidP="00D156B8">
      <w:pPr>
        <w:rPr>
          <w:b/>
          <w:bCs/>
        </w:rPr>
      </w:pPr>
      <w:r w:rsidRPr="0010055D">
        <w:rPr>
          <w:b/>
          <w:bCs/>
        </w:rPr>
        <w:t xml:space="preserve">Observation: Clarity on which regulative document applies for this frequency band is needed from </w:t>
      </w:r>
      <w:r w:rsidR="00B8591A">
        <w:rPr>
          <w:b/>
          <w:bCs/>
        </w:rPr>
        <w:t xml:space="preserve">the </w:t>
      </w:r>
      <w:r w:rsidR="008F4BDA">
        <w:rPr>
          <w:b/>
          <w:bCs/>
        </w:rPr>
        <w:t>spectrum owner</w:t>
      </w:r>
    </w:p>
    <w:p w14:paraId="39646AC4" w14:textId="217858DA" w:rsidR="006840E9" w:rsidRDefault="006840E9" w:rsidP="00D156B8">
      <w:pPr>
        <w:rPr>
          <w:b/>
          <w:bCs/>
        </w:rPr>
      </w:pPr>
      <w:r w:rsidRPr="006840E9">
        <w:rPr>
          <w:b/>
          <w:bCs/>
        </w:rPr>
        <w:t xml:space="preserve">Proposal 2: In the absence of clear regulatory rules that may not be covered under general emission requirements, 3GPP should not define any additional requirements. </w:t>
      </w:r>
    </w:p>
    <w:p w14:paraId="0C85BD7C" w14:textId="436E7E16" w:rsidR="00D156B8" w:rsidRPr="00CD423E" w:rsidRDefault="00D156B8" w:rsidP="00D156B8">
      <w:pPr>
        <w:rPr>
          <w:b/>
          <w:bCs/>
        </w:rPr>
      </w:pPr>
      <w:r w:rsidRPr="007D4769">
        <w:rPr>
          <w:b/>
          <w:bCs/>
        </w:rPr>
        <w:t>Proposal</w:t>
      </w:r>
      <w:r>
        <w:rPr>
          <w:b/>
          <w:bCs/>
        </w:rPr>
        <w:t xml:space="preserve"> </w:t>
      </w:r>
      <w:r w:rsidR="00BC2CDE">
        <w:rPr>
          <w:b/>
          <w:bCs/>
        </w:rPr>
        <w:t>3</w:t>
      </w:r>
      <w:r w:rsidRPr="007D4769">
        <w:rPr>
          <w:b/>
          <w:bCs/>
        </w:rPr>
        <w:t xml:space="preserve">: Power class for the NTN IoT TDD system is defined as 32 dBm. </w:t>
      </w:r>
    </w:p>
    <w:p w14:paraId="2D3605B5" w14:textId="77777777" w:rsidR="00D156B8" w:rsidRPr="000A3909" w:rsidRDefault="00D156B8" w:rsidP="005D33A7">
      <w:pPr>
        <w:rPr>
          <w:b/>
        </w:rPr>
      </w:pP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5E5C0ADE" w14:textId="6C5D7324" w:rsidR="00714ABC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901EE9" w:rsidRPr="00901EE9">
        <w:t>RP</w:t>
      </w:r>
      <w:r w:rsidR="00901EE9">
        <w:t>-</w:t>
      </w:r>
      <w:r w:rsidR="00901EE9" w:rsidRPr="00901EE9">
        <w:t>243293</w:t>
      </w:r>
      <w:r w:rsidR="00901EE9">
        <w:t>, “</w:t>
      </w:r>
      <w:r w:rsidR="00B92535" w:rsidRPr="00B92535">
        <w:t>Revised WID on introduction of IoT-NTN TDD mode</w:t>
      </w:r>
      <w:r w:rsidR="00901EE9">
        <w:t xml:space="preserve">”, </w:t>
      </w:r>
      <w:r w:rsidR="0077379A" w:rsidRPr="0077379A">
        <w:t>Iridium Satellite LLC</w:t>
      </w:r>
      <w:r w:rsidR="0077379A">
        <w:t xml:space="preserve">, </w:t>
      </w:r>
      <w:r w:rsidR="007E0F35" w:rsidRPr="007E0F35">
        <w:t>3GPP TSG RAN Meeting #106</w:t>
      </w:r>
      <w:r w:rsidR="007E0F35">
        <w:t xml:space="preserve">, </w:t>
      </w:r>
      <w:r w:rsidR="00E207E6" w:rsidRPr="00E207E6">
        <w:t>Madrid, Spain, December 9-12, 2024</w:t>
      </w:r>
    </w:p>
    <w:p w14:paraId="45896926" w14:textId="28ECF259" w:rsidR="00D97CD5" w:rsidRDefault="00714ABC" w:rsidP="00D5222A">
      <w:pPr>
        <w:pStyle w:val="B1"/>
        <w:spacing w:after="120"/>
        <w:ind w:left="576" w:hanging="288"/>
      </w:pPr>
      <w:r>
        <w:t>[2]</w:t>
      </w:r>
      <w:r>
        <w:tab/>
      </w:r>
      <w:r w:rsidRPr="00714ABC">
        <w:t>R4-2419795</w:t>
      </w:r>
      <w:r>
        <w:t>, “</w:t>
      </w:r>
      <w:r w:rsidRPr="00714ABC">
        <w:t>Way Forward for [113][317] IoT_NTN_TDD</w:t>
      </w:r>
      <w:r>
        <w:t xml:space="preserve">”, Qualcomm, </w:t>
      </w:r>
      <w:r w:rsidR="00CB4A1B" w:rsidRPr="00CB4A1B">
        <w:t>3GPP TSG-RAN WG4 Meeting #113</w:t>
      </w:r>
      <w:r w:rsidR="00CB4A1B">
        <w:t xml:space="preserve">, </w:t>
      </w:r>
      <w:r w:rsidR="00463B01" w:rsidRPr="00463B01">
        <w:t>Orlando, US, 18th – 22nd November, 2024</w:t>
      </w:r>
    </w:p>
    <w:p w14:paraId="6BF30FBA" w14:textId="351A2230" w:rsidR="0065367F" w:rsidRDefault="0065367F" w:rsidP="00D5222A">
      <w:pPr>
        <w:pStyle w:val="B1"/>
        <w:spacing w:after="120"/>
        <w:ind w:left="576" w:hanging="288"/>
      </w:pPr>
      <w:r>
        <w:t>[3]</w:t>
      </w:r>
      <w:r>
        <w:tab/>
      </w:r>
      <w:r w:rsidRPr="0065367F">
        <w:t>R4-1711536</w:t>
      </w:r>
      <w:r>
        <w:t>, “</w:t>
      </w:r>
      <w:r w:rsidR="00674B1D" w:rsidRPr="00674B1D">
        <w:t>Reply LS to R1-1715304 LS on minimum time for DL-to-UL and UL-to-DL switching on one NB-IoT carrier for TDD NB-IoT UEs</w:t>
      </w:r>
      <w:r>
        <w:t xml:space="preserve">”, </w:t>
      </w:r>
      <w:r w:rsidR="00EB31BC">
        <w:t xml:space="preserve">RAN4 (Ericsson), </w:t>
      </w:r>
      <w:r w:rsidR="002E60E4" w:rsidRPr="002E60E4">
        <w:t>3GPP TSG RAN WG2 Meeting #84bis</w:t>
      </w:r>
      <w:r w:rsidR="002E60E4">
        <w:t xml:space="preserve">, </w:t>
      </w:r>
      <w:r w:rsidR="00117299" w:rsidRPr="00117299">
        <w:t>Dubrovnik, Croatia, 9th – 13th October 2017</w:t>
      </w:r>
    </w:p>
    <w:p w14:paraId="72A13F70" w14:textId="1C8FA723" w:rsidR="005F2375" w:rsidRDefault="00025AAF" w:rsidP="005F2375">
      <w:pPr>
        <w:pStyle w:val="B1"/>
        <w:spacing w:after="120"/>
        <w:ind w:left="576" w:hanging="288"/>
      </w:pPr>
      <w:r>
        <w:t>[4]</w:t>
      </w:r>
      <w:r w:rsidR="005F2375">
        <w:t xml:space="preserve"> R1-2500003, Report of RAN1#119 meeting</w:t>
      </w:r>
    </w:p>
    <w:p w14:paraId="16C6F5C1" w14:textId="36A31626" w:rsidR="009E0661" w:rsidRDefault="009001CD" w:rsidP="009E0661">
      <w:pPr>
        <w:pStyle w:val="B1"/>
        <w:spacing w:after="120"/>
        <w:ind w:left="576" w:hanging="288"/>
      </w:pPr>
      <w:r>
        <w:lastRenderedPageBreak/>
        <w:t>[5]</w:t>
      </w:r>
      <w:r>
        <w:tab/>
      </w:r>
      <w:r w:rsidR="00F76B09" w:rsidRPr="00F76B09">
        <w:t>R4-2502292</w:t>
      </w:r>
      <w:r w:rsidR="00F76B09">
        <w:t>, “</w:t>
      </w:r>
      <w:r w:rsidR="00F76B09" w:rsidRPr="00F76B09">
        <w:t>Way Forward for [114][318] IoT_NTN_TDD_UE_SAN_RF</w:t>
      </w:r>
      <w:r w:rsidR="00F76B09">
        <w:t xml:space="preserve">”, </w:t>
      </w:r>
      <w:r w:rsidR="00F76B09" w:rsidRPr="00F76B09">
        <w:t>THALES</w:t>
      </w:r>
      <w:r w:rsidR="009E0661">
        <w:t>, 3GPP TSG-RAN4 Meeting #114</w:t>
      </w:r>
      <w:r w:rsidR="009E0661" w:rsidRPr="009E0661">
        <w:t xml:space="preserve"> </w:t>
      </w:r>
      <w:r w:rsidR="009E0661">
        <w:t>Athens, Greece,  16th – 21st February, 2025</w:t>
      </w:r>
    </w:p>
    <w:p w14:paraId="4B8D0AAB" w14:textId="77777777" w:rsidR="009E0661" w:rsidRDefault="009E0661" w:rsidP="009E0661">
      <w:pPr>
        <w:pStyle w:val="B1"/>
        <w:spacing w:after="120"/>
        <w:ind w:left="576" w:hanging="288"/>
      </w:pPr>
      <w:r>
        <w:t>[6]</w:t>
      </w:r>
      <w:r>
        <w:tab/>
        <w:t>R4-2500491, “</w:t>
      </w:r>
      <w:r w:rsidRPr="009E0661">
        <w:t>Initial views on RF impact for NTN IoT TDD</w:t>
      </w:r>
      <w:r>
        <w:t>”, Qualcomm, 3GPP TSG-RAN4 Meeting #114</w:t>
      </w:r>
      <w:r w:rsidRPr="009E0661">
        <w:t xml:space="preserve"> </w:t>
      </w:r>
      <w:r>
        <w:t>Athens, Greece,  16th – 21st February, 2025</w:t>
      </w:r>
    </w:p>
    <w:p w14:paraId="56830002" w14:textId="5E8DF342" w:rsidR="00D420D1" w:rsidRDefault="00D420D1" w:rsidP="00FC5378">
      <w:pPr>
        <w:pStyle w:val="B1"/>
        <w:spacing w:after="120"/>
        <w:ind w:left="576" w:hanging="288"/>
      </w:pPr>
      <w:r>
        <w:t>[7]</w:t>
      </w:r>
      <w:r>
        <w:tab/>
        <w:t>R4-2501153, “</w:t>
      </w:r>
      <w:r w:rsidR="00FC5378" w:rsidRPr="00FC5378">
        <w:t>AMPR value for NB-IoT in IoT NTN band b254</w:t>
      </w:r>
      <w:r>
        <w:t xml:space="preserve">”, </w:t>
      </w:r>
      <w:r w:rsidR="00FC5378">
        <w:t xml:space="preserve">Qualcomm, </w:t>
      </w:r>
      <w:r>
        <w:t>3GPP TSG-RAN WG4 Meeting #114</w:t>
      </w:r>
      <w:r w:rsidR="00FC5378">
        <w:t xml:space="preserve">, </w:t>
      </w:r>
      <w:r>
        <w:t>Athens, GR, 17th – 21st February, 2025</w:t>
      </w:r>
    </w:p>
    <w:p w14:paraId="2A133348" w14:textId="7CDF2BC4" w:rsidR="009E0661" w:rsidRDefault="009E0661" w:rsidP="009E0661">
      <w:pPr>
        <w:pStyle w:val="B1"/>
        <w:spacing w:after="120"/>
        <w:ind w:left="576" w:hanging="288"/>
      </w:pPr>
    </w:p>
    <w:p w14:paraId="169858F0" w14:textId="77777777" w:rsidR="009E0661" w:rsidRDefault="009E0661" w:rsidP="005F2375">
      <w:pPr>
        <w:pStyle w:val="B1"/>
        <w:spacing w:after="120"/>
        <w:ind w:left="576" w:hanging="288"/>
      </w:pPr>
    </w:p>
    <w:p w14:paraId="0802FEAD" w14:textId="6A6CE293" w:rsidR="005F2375" w:rsidRDefault="005F2375" w:rsidP="00D5222A">
      <w:pPr>
        <w:pStyle w:val="B1"/>
        <w:spacing w:after="120"/>
        <w:ind w:left="576" w:hanging="288"/>
      </w:pPr>
    </w:p>
    <w:p w14:paraId="693ECFAB" w14:textId="33D0640B" w:rsidR="00025AAF" w:rsidRDefault="00025AAF" w:rsidP="00D5222A">
      <w:pPr>
        <w:pStyle w:val="B1"/>
        <w:spacing w:after="120"/>
        <w:ind w:left="576" w:hanging="288"/>
      </w:pPr>
    </w:p>
    <w:p w14:paraId="6253C025" w14:textId="3F7B9842" w:rsidR="00AA4150" w:rsidRDefault="005F2375" w:rsidP="005F2375">
      <w:pPr>
        <w:pStyle w:val="Heading1"/>
      </w:pPr>
      <w:r>
        <w:t>Annex: Agreement in RAN1</w:t>
      </w:r>
    </w:p>
    <w:p w14:paraId="4212D9A7" w14:textId="7CF82D28" w:rsidR="005F2375" w:rsidRPr="00BE339B" w:rsidRDefault="00DA7760" w:rsidP="00BE339B">
      <w:pPr>
        <w:pStyle w:val="B1"/>
      </w:pPr>
      <w:r>
        <w:fldChar w:fldCharType="begin"/>
      </w:r>
      <w:r>
        <w:instrText xml:space="preserve"> INCLUDEPICTURE  "cid:image001.png@01DB973C.5D597FA0" \* MERGEFORMATINET </w:instrText>
      </w:r>
      <w:r>
        <w:fldChar w:fldCharType="separate"/>
      </w:r>
      <w:r w:rsidR="006840E9">
        <w:fldChar w:fldCharType="begin"/>
      </w:r>
      <w:r w:rsidR="006840E9">
        <w:instrText xml:space="preserve"> INCLUDEPICTURE  "cid:image001.png@01DB973C.5D597FA0" \* MERGEFORMATINET </w:instrText>
      </w:r>
      <w:r w:rsidR="006840E9">
        <w:fldChar w:fldCharType="separate"/>
      </w:r>
      <w:r w:rsidR="00E1596A">
        <w:fldChar w:fldCharType="begin"/>
      </w:r>
      <w:r w:rsidR="00E1596A">
        <w:instrText xml:space="preserve"> INCLUDEPICTURE  "cid:image001.png@01DB973C.5D597FA0" \* MERGEFORMATINET </w:instrText>
      </w:r>
      <w:r w:rsidR="00E1596A">
        <w:fldChar w:fldCharType="separate"/>
      </w:r>
      <w:r>
        <w:fldChar w:fldCharType="begin"/>
      </w:r>
      <w:r>
        <w:instrText xml:space="preserve"> INCLUDEPICTURE  "cid:image001.png@01DB973C.5D597FA0" \* MERGEFORMATINET </w:instrText>
      </w:r>
      <w:r>
        <w:fldChar w:fldCharType="separate"/>
      </w:r>
      <w:r w:rsidR="00EB2A76">
        <w:fldChar w:fldCharType="begin"/>
      </w:r>
      <w:r w:rsidR="00EB2A76">
        <w:instrText xml:space="preserve"> </w:instrText>
      </w:r>
      <w:r w:rsidR="00EB2A76">
        <w:instrText>INCLUDEPICTURE  "cid:image001.png@01DB973C.5D597FA0" \* MERGEFORMATINET</w:instrText>
      </w:r>
      <w:r w:rsidR="00EB2A76">
        <w:instrText xml:space="preserve"> </w:instrText>
      </w:r>
      <w:r w:rsidR="00EB2A76">
        <w:fldChar w:fldCharType="separate"/>
      </w:r>
      <w:r w:rsidR="00EB2A76">
        <w:pict w14:anchorId="477D4B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" style="width:397.5pt;height:89.5pt">
            <v:imagedata r:id="rId13" r:href="rId14"/>
          </v:shape>
        </w:pict>
      </w:r>
      <w:r w:rsidR="00EB2A76">
        <w:fldChar w:fldCharType="end"/>
      </w:r>
      <w:r>
        <w:fldChar w:fldCharType="end"/>
      </w:r>
      <w:r w:rsidR="00E1596A">
        <w:fldChar w:fldCharType="end"/>
      </w:r>
      <w:r w:rsidR="006840E9">
        <w:fldChar w:fldCharType="end"/>
      </w:r>
      <w:r>
        <w:fldChar w:fldCharType="end"/>
      </w:r>
    </w:p>
    <w:sectPr w:rsidR="005F2375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6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5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9"/>
  </w:num>
  <w:num w:numId="9" w16cid:durableId="1874880183">
    <w:abstractNumId w:val="39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8"/>
  </w:num>
  <w:num w:numId="17" w16cid:durableId="1593077490">
    <w:abstractNumId w:val="18"/>
  </w:num>
  <w:num w:numId="18" w16cid:durableId="421680846">
    <w:abstractNumId w:val="32"/>
  </w:num>
  <w:num w:numId="19" w16cid:durableId="1354115616">
    <w:abstractNumId w:val="40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6"/>
  </w:num>
  <w:num w:numId="24" w16cid:durableId="1339889165">
    <w:abstractNumId w:val="27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8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7"/>
  </w:num>
  <w:num w:numId="31" w16cid:durableId="1523739330">
    <w:abstractNumId w:val="1"/>
  </w:num>
  <w:num w:numId="32" w16cid:durableId="23793897">
    <w:abstractNumId w:val="31"/>
  </w:num>
  <w:num w:numId="33" w16cid:durableId="541600679">
    <w:abstractNumId w:val="33"/>
  </w:num>
  <w:num w:numId="34" w16cid:durableId="375783473">
    <w:abstractNumId w:val="13"/>
  </w:num>
  <w:num w:numId="35" w16cid:durableId="364794266">
    <w:abstractNumId w:val="30"/>
  </w:num>
  <w:num w:numId="36" w16cid:durableId="1979457668">
    <w:abstractNumId w:val="34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 w:numId="41" w16cid:durableId="41759750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0FFB"/>
    <w:rsid w:val="00011D94"/>
    <w:rsid w:val="00012A34"/>
    <w:rsid w:val="00012A7B"/>
    <w:rsid w:val="00012EBD"/>
    <w:rsid w:val="000132AD"/>
    <w:rsid w:val="0001362F"/>
    <w:rsid w:val="000138B6"/>
    <w:rsid w:val="000138EE"/>
    <w:rsid w:val="00013A1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21E"/>
    <w:rsid w:val="0002143A"/>
    <w:rsid w:val="00021CED"/>
    <w:rsid w:val="00022941"/>
    <w:rsid w:val="000235E9"/>
    <w:rsid w:val="00025951"/>
    <w:rsid w:val="00025AAF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10E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65B3"/>
    <w:rsid w:val="00086D5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B3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D49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015"/>
    <w:rsid w:val="000B7218"/>
    <w:rsid w:val="000C00D9"/>
    <w:rsid w:val="000C0457"/>
    <w:rsid w:val="000C04AC"/>
    <w:rsid w:val="000C1239"/>
    <w:rsid w:val="000C16BF"/>
    <w:rsid w:val="000C1F41"/>
    <w:rsid w:val="000C266D"/>
    <w:rsid w:val="000C2BCE"/>
    <w:rsid w:val="000C3349"/>
    <w:rsid w:val="000C39B0"/>
    <w:rsid w:val="000C3D76"/>
    <w:rsid w:val="000C41C8"/>
    <w:rsid w:val="000C4B7B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6E82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6A09"/>
    <w:rsid w:val="000D7CA5"/>
    <w:rsid w:val="000D7E41"/>
    <w:rsid w:val="000E0031"/>
    <w:rsid w:val="000E00B3"/>
    <w:rsid w:val="000E03A9"/>
    <w:rsid w:val="000E0A10"/>
    <w:rsid w:val="000E1A45"/>
    <w:rsid w:val="000E26BD"/>
    <w:rsid w:val="000E2D81"/>
    <w:rsid w:val="000E36FC"/>
    <w:rsid w:val="000E3A34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55D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8D2"/>
    <w:rsid w:val="00104902"/>
    <w:rsid w:val="00105115"/>
    <w:rsid w:val="00105180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17299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291"/>
    <w:rsid w:val="00131A2A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7CC"/>
    <w:rsid w:val="00156FF8"/>
    <w:rsid w:val="001573DA"/>
    <w:rsid w:val="001600C2"/>
    <w:rsid w:val="00160160"/>
    <w:rsid w:val="00160509"/>
    <w:rsid w:val="001605A5"/>
    <w:rsid w:val="001614BB"/>
    <w:rsid w:val="00161C73"/>
    <w:rsid w:val="00161DC7"/>
    <w:rsid w:val="001620D8"/>
    <w:rsid w:val="001631D5"/>
    <w:rsid w:val="0016323F"/>
    <w:rsid w:val="00163C96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0CB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67D"/>
    <w:rsid w:val="001C4EAC"/>
    <w:rsid w:val="001C50BC"/>
    <w:rsid w:val="001C54B6"/>
    <w:rsid w:val="001C5875"/>
    <w:rsid w:val="001C6513"/>
    <w:rsid w:val="001C664C"/>
    <w:rsid w:val="001C6D62"/>
    <w:rsid w:val="001C774F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5988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18A4"/>
    <w:rsid w:val="001E21C9"/>
    <w:rsid w:val="001E22F0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8E2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284"/>
    <w:rsid w:val="00206565"/>
    <w:rsid w:val="0020658C"/>
    <w:rsid w:val="002067DB"/>
    <w:rsid w:val="00206CF3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AB3"/>
    <w:rsid w:val="00224E7C"/>
    <w:rsid w:val="00225293"/>
    <w:rsid w:val="002256C5"/>
    <w:rsid w:val="00225AD9"/>
    <w:rsid w:val="0022667F"/>
    <w:rsid w:val="002267B2"/>
    <w:rsid w:val="002269E5"/>
    <w:rsid w:val="00226E45"/>
    <w:rsid w:val="00227415"/>
    <w:rsid w:val="002309FF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A1B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58F0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637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0E4"/>
    <w:rsid w:val="002E6B0A"/>
    <w:rsid w:val="002E7011"/>
    <w:rsid w:val="002F014B"/>
    <w:rsid w:val="002F06BB"/>
    <w:rsid w:val="002F0BA8"/>
    <w:rsid w:val="002F1208"/>
    <w:rsid w:val="002F1C8C"/>
    <w:rsid w:val="002F21D4"/>
    <w:rsid w:val="002F28ED"/>
    <w:rsid w:val="002F2A00"/>
    <w:rsid w:val="002F3968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463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64EF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2C3"/>
    <w:rsid w:val="003476B3"/>
    <w:rsid w:val="00347BB5"/>
    <w:rsid w:val="003509D0"/>
    <w:rsid w:val="003513C6"/>
    <w:rsid w:val="00351905"/>
    <w:rsid w:val="00351BEA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130B"/>
    <w:rsid w:val="00381D80"/>
    <w:rsid w:val="00382EB8"/>
    <w:rsid w:val="00384195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7B8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15"/>
    <w:rsid w:val="003C497A"/>
    <w:rsid w:val="003C5440"/>
    <w:rsid w:val="003C7077"/>
    <w:rsid w:val="003C75E2"/>
    <w:rsid w:val="003C78EE"/>
    <w:rsid w:val="003D0400"/>
    <w:rsid w:val="003D0615"/>
    <w:rsid w:val="003D0AEC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6FD"/>
    <w:rsid w:val="00426CF6"/>
    <w:rsid w:val="00426FCE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4B3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75B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5FB"/>
    <w:rsid w:val="00474FE5"/>
    <w:rsid w:val="00475C03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18C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351"/>
    <w:rsid w:val="00487B8A"/>
    <w:rsid w:val="004902D0"/>
    <w:rsid w:val="00490348"/>
    <w:rsid w:val="00490373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3EC8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687"/>
    <w:rsid w:val="004B5753"/>
    <w:rsid w:val="004B6222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D9D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5035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7B9"/>
    <w:rsid w:val="004F5B47"/>
    <w:rsid w:val="004F63E2"/>
    <w:rsid w:val="004F6C74"/>
    <w:rsid w:val="004F6D17"/>
    <w:rsid w:val="004F6E49"/>
    <w:rsid w:val="004F7BD5"/>
    <w:rsid w:val="004F7E17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AEF"/>
    <w:rsid w:val="00555BA6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4BD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3976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031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1F4A"/>
    <w:rsid w:val="005C2C3A"/>
    <w:rsid w:val="005C351F"/>
    <w:rsid w:val="005C38CB"/>
    <w:rsid w:val="005C3D8E"/>
    <w:rsid w:val="005C40A7"/>
    <w:rsid w:val="005C4F1F"/>
    <w:rsid w:val="005C52E3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E1716"/>
    <w:rsid w:val="005E1743"/>
    <w:rsid w:val="005E1827"/>
    <w:rsid w:val="005E19CB"/>
    <w:rsid w:val="005E1DB3"/>
    <w:rsid w:val="005E2210"/>
    <w:rsid w:val="005E2B0B"/>
    <w:rsid w:val="005E2DD6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375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3E79"/>
    <w:rsid w:val="00624DCC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71F8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67F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B1D"/>
    <w:rsid w:val="00674D9B"/>
    <w:rsid w:val="00674FAA"/>
    <w:rsid w:val="00675294"/>
    <w:rsid w:val="006754D6"/>
    <w:rsid w:val="00675DE9"/>
    <w:rsid w:val="00676E29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40E9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0B3"/>
    <w:rsid w:val="006953E8"/>
    <w:rsid w:val="00695AC8"/>
    <w:rsid w:val="00695F3B"/>
    <w:rsid w:val="006960EF"/>
    <w:rsid w:val="00696381"/>
    <w:rsid w:val="006964E5"/>
    <w:rsid w:val="00696C34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2A71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CA9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6EA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79A"/>
    <w:rsid w:val="00773E50"/>
    <w:rsid w:val="00773E51"/>
    <w:rsid w:val="007746DF"/>
    <w:rsid w:val="00774F6F"/>
    <w:rsid w:val="00775007"/>
    <w:rsid w:val="0077541D"/>
    <w:rsid w:val="00776166"/>
    <w:rsid w:val="00776205"/>
    <w:rsid w:val="007762DC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2F6D"/>
    <w:rsid w:val="00783107"/>
    <w:rsid w:val="00783D3A"/>
    <w:rsid w:val="00784150"/>
    <w:rsid w:val="007847A1"/>
    <w:rsid w:val="00784A84"/>
    <w:rsid w:val="00785098"/>
    <w:rsid w:val="0078696B"/>
    <w:rsid w:val="007873BF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6B4C"/>
    <w:rsid w:val="007C721F"/>
    <w:rsid w:val="007C7778"/>
    <w:rsid w:val="007C7B00"/>
    <w:rsid w:val="007D0000"/>
    <w:rsid w:val="007D0F6E"/>
    <w:rsid w:val="007D1C70"/>
    <w:rsid w:val="007D22FB"/>
    <w:rsid w:val="007D2CD9"/>
    <w:rsid w:val="007D3C2D"/>
    <w:rsid w:val="007D4769"/>
    <w:rsid w:val="007D5108"/>
    <w:rsid w:val="007D52D2"/>
    <w:rsid w:val="007D63B5"/>
    <w:rsid w:val="007D6BD5"/>
    <w:rsid w:val="007D79D0"/>
    <w:rsid w:val="007D7C63"/>
    <w:rsid w:val="007D7F6F"/>
    <w:rsid w:val="007E0572"/>
    <w:rsid w:val="007E0F35"/>
    <w:rsid w:val="007E0FFC"/>
    <w:rsid w:val="007E19D3"/>
    <w:rsid w:val="007E1BE5"/>
    <w:rsid w:val="007E1CF7"/>
    <w:rsid w:val="007E1DE0"/>
    <w:rsid w:val="007E2DD7"/>
    <w:rsid w:val="007E30D5"/>
    <w:rsid w:val="007E348A"/>
    <w:rsid w:val="007E35DC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0B32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263"/>
    <w:rsid w:val="008146F8"/>
    <w:rsid w:val="008151FC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00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6DD1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67"/>
    <w:rsid w:val="00854CDE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620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2C1D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93"/>
    <w:rsid w:val="00886969"/>
    <w:rsid w:val="00886BC4"/>
    <w:rsid w:val="00886C03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E3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12E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3129"/>
    <w:rsid w:val="008E4057"/>
    <w:rsid w:val="008E427E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BDA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1CD"/>
    <w:rsid w:val="009009CE"/>
    <w:rsid w:val="009012B0"/>
    <w:rsid w:val="009015DF"/>
    <w:rsid w:val="00901EE9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093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17"/>
    <w:rsid w:val="0092637E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AA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6C5F"/>
    <w:rsid w:val="0094761A"/>
    <w:rsid w:val="00947F59"/>
    <w:rsid w:val="00950272"/>
    <w:rsid w:val="00950553"/>
    <w:rsid w:val="009505A7"/>
    <w:rsid w:val="00950A78"/>
    <w:rsid w:val="00952F90"/>
    <w:rsid w:val="009530CA"/>
    <w:rsid w:val="00953929"/>
    <w:rsid w:val="00953B9C"/>
    <w:rsid w:val="00954D53"/>
    <w:rsid w:val="00954EBB"/>
    <w:rsid w:val="009553B2"/>
    <w:rsid w:val="00955410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28A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443"/>
    <w:rsid w:val="009A1504"/>
    <w:rsid w:val="009A22C3"/>
    <w:rsid w:val="009A2557"/>
    <w:rsid w:val="009A25B1"/>
    <w:rsid w:val="009A2B39"/>
    <w:rsid w:val="009A2D00"/>
    <w:rsid w:val="009A37C5"/>
    <w:rsid w:val="009A37DD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61"/>
    <w:rsid w:val="009E06B5"/>
    <w:rsid w:val="009E08C2"/>
    <w:rsid w:val="009E0CDD"/>
    <w:rsid w:val="009E0D6A"/>
    <w:rsid w:val="009E1081"/>
    <w:rsid w:val="009E1272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239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8B"/>
    <w:rsid w:val="00A422F3"/>
    <w:rsid w:val="00A42E83"/>
    <w:rsid w:val="00A4438F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030B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05A"/>
    <w:rsid w:val="00A80453"/>
    <w:rsid w:val="00A80B6B"/>
    <w:rsid w:val="00A80DC0"/>
    <w:rsid w:val="00A812C2"/>
    <w:rsid w:val="00A81316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CB8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2F8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E70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08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77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4E67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2F0"/>
    <w:rsid w:val="00B8294B"/>
    <w:rsid w:val="00B83184"/>
    <w:rsid w:val="00B8359C"/>
    <w:rsid w:val="00B83804"/>
    <w:rsid w:val="00B839AA"/>
    <w:rsid w:val="00B840E3"/>
    <w:rsid w:val="00B848E6"/>
    <w:rsid w:val="00B8591A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35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CDE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316"/>
    <w:rsid w:val="00BD646F"/>
    <w:rsid w:val="00BD6A77"/>
    <w:rsid w:val="00BD6B17"/>
    <w:rsid w:val="00BD7558"/>
    <w:rsid w:val="00BE0001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703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6F39"/>
    <w:rsid w:val="00BF737A"/>
    <w:rsid w:val="00BF75E3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8C1"/>
    <w:rsid w:val="00C15F65"/>
    <w:rsid w:val="00C163D4"/>
    <w:rsid w:val="00C164C5"/>
    <w:rsid w:val="00C1682A"/>
    <w:rsid w:val="00C16E5D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1"/>
    <w:rsid w:val="00C32114"/>
    <w:rsid w:val="00C321EB"/>
    <w:rsid w:val="00C323F8"/>
    <w:rsid w:val="00C32D04"/>
    <w:rsid w:val="00C33282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79A"/>
    <w:rsid w:val="00C42B67"/>
    <w:rsid w:val="00C43709"/>
    <w:rsid w:val="00C43BC5"/>
    <w:rsid w:val="00C44163"/>
    <w:rsid w:val="00C4455B"/>
    <w:rsid w:val="00C44D20"/>
    <w:rsid w:val="00C45431"/>
    <w:rsid w:val="00C45952"/>
    <w:rsid w:val="00C45FFE"/>
    <w:rsid w:val="00C466B0"/>
    <w:rsid w:val="00C46A5D"/>
    <w:rsid w:val="00C46CC8"/>
    <w:rsid w:val="00C47124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852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846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AA3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0EBF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23E"/>
    <w:rsid w:val="00CD43D9"/>
    <w:rsid w:val="00CD444A"/>
    <w:rsid w:val="00CD4BD5"/>
    <w:rsid w:val="00CD56AE"/>
    <w:rsid w:val="00CD5B3E"/>
    <w:rsid w:val="00CD684D"/>
    <w:rsid w:val="00CD6C1C"/>
    <w:rsid w:val="00CD6C4E"/>
    <w:rsid w:val="00CD736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1F03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56B8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0D0F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470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37D93"/>
    <w:rsid w:val="00D40943"/>
    <w:rsid w:val="00D40A23"/>
    <w:rsid w:val="00D40FA2"/>
    <w:rsid w:val="00D40FCB"/>
    <w:rsid w:val="00D4111E"/>
    <w:rsid w:val="00D415F0"/>
    <w:rsid w:val="00D416A4"/>
    <w:rsid w:val="00D41C55"/>
    <w:rsid w:val="00D420D1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1BF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C2"/>
    <w:rsid w:val="00DA727B"/>
    <w:rsid w:val="00DA772F"/>
    <w:rsid w:val="00DA7760"/>
    <w:rsid w:val="00DB0851"/>
    <w:rsid w:val="00DB0BF8"/>
    <w:rsid w:val="00DB0E76"/>
    <w:rsid w:val="00DB2468"/>
    <w:rsid w:val="00DB2F3D"/>
    <w:rsid w:val="00DB2F50"/>
    <w:rsid w:val="00DB3FFB"/>
    <w:rsid w:val="00DB4082"/>
    <w:rsid w:val="00DB421C"/>
    <w:rsid w:val="00DB4387"/>
    <w:rsid w:val="00DB444F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4BAC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53CB"/>
    <w:rsid w:val="00E1596A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7E6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85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2F8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185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2A76"/>
    <w:rsid w:val="00EB31BC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22"/>
    <w:rsid w:val="00ED03A1"/>
    <w:rsid w:val="00ED1BF0"/>
    <w:rsid w:val="00ED223E"/>
    <w:rsid w:val="00ED3238"/>
    <w:rsid w:val="00ED414A"/>
    <w:rsid w:val="00ED45F4"/>
    <w:rsid w:val="00ED4682"/>
    <w:rsid w:val="00ED578D"/>
    <w:rsid w:val="00ED5D70"/>
    <w:rsid w:val="00ED5F67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96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4858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58E"/>
    <w:rsid w:val="00F27797"/>
    <w:rsid w:val="00F2798F"/>
    <w:rsid w:val="00F27C19"/>
    <w:rsid w:val="00F30564"/>
    <w:rsid w:val="00F3065A"/>
    <w:rsid w:val="00F30D84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098"/>
    <w:rsid w:val="00F6029A"/>
    <w:rsid w:val="00F60C07"/>
    <w:rsid w:val="00F60E13"/>
    <w:rsid w:val="00F60E8E"/>
    <w:rsid w:val="00F61303"/>
    <w:rsid w:val="00F61759"/>
    <w:rsid w:val="00F6255F"/>
    <w:rsid w:val="00F6288E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4BD2"/>
    <w:rsid w:val="00F75883"/>
    <w:rsid w:val="00F761C3"/>
    <w:rsid w:val="00F76264"/>
    <w:rsid w:val="00F76B09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1FE6"/>
    <w:rsid w:val="00FA2067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3F6F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378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1A7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995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9A9"/>
    <w:rsid w:val="00FE6B2C"/>
    <w:rsid w:val="00FE6E3B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cid:image001.png@01DB973C.5D597FA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1971</TotalTime>
  <Pages>4</Pages>
  <Words>896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5915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330</cp:revision>
  <dcterms:created xsi:type="dcterms:W3CDTF">2024-10-04T22:11:00Z</dcterms:created>
  <dcterms:modified xsi:type="dcterms:W3CDTF">2025-03-28T19:07:00Z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